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9E" w:rsidRPr="00A9179E" w:rsidRDefault="00A9179E" w:rsidP="00A917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Működési engedély kérelem, módosítás, megszüntetés</w:t>
      </w:r>
    </w:p>
    <w:p w:rsidR="00A9179E" w:rsidRDefault="00A9179E" w:rsidP="00A9179E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179E" w:rsidRDefault="00A9179E" w:rsidP="00A9179E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A9179E" w:rsidRPr="00A9179E" w:rsidRDefault="00A9179E" w:rsidP="00A9179E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kereskedőnek a kizárólag üzletben forgalmazható termék forgalmazására szolgáló üzlet üzemeltetésére működési engedélyt kell kérni.</w:t>
      </w: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közérdekeken alapuló kényszerítő indok alapján eljáró szakhatóságok kijelöléséről szóló 531/2017. (XII.29.) Korm. rendelet 1. mellékletében meghatározott szakhatóságok megkeresésére hivatalból kerül sor.</w:t>
      </w:r>
    </w:p>
    <w:p w:rsid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működési engedélyt a jegyző akkor adja ki, ha a szakhatósági hozzájárulások alapján az üzlet megfelel a vonatkozó jogszabályi előírásoknak. Az engedély megadásával egyidejűleg a jegyző az üzletet nyilvántartásba veszi, mely nyilvántartás nyilvános.</w:t>
      </w: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tevékenységet kizárólag a véglegessé vált határozattal kiadott működési engedély birtokában lehet megkezdeni. </w:t>
      </w: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kereskedő az adatokban bekövetkezett változást haladéktalanul, illetve a nyitvatartási idő változását az azt megelőző nyolc napon belül köteles bejelenteni a jegyzőnek.</w:t>
      </w: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79E" w:rsidRPr="00A9179E" w:rsidRDefault="00A9179E" w:rsidP="00A917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üzlet megszűnését a megszűnést követő 8 napon belül be kell jelenteni a jegyzőnek. A jegyző a bejelentést követően haladéktalanul visszavonja </w:t>
      </w:r>
      <w:proofErr w:type="gramStart"/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működési engedélyt,</w:t>
      </w:r>
      <w:proofErr w:type="gramEnd"/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üzletet törli a nyilvántartásból.</w:t>
      </w:r>
    </w:p>
    <w:p w:rsidR="00224A95" w:rsidRDefault="00224A95" w:rsidP="00A9179E">
      <w:pPr>
        <w:rPr>
          <w:sz w:val="24"/>
          <w:szCs w:val="24"/>
        </w:rPr>
      </w:pPr>
    </w:p>
    <w:p w:rsidR="00A9179E" w:rsidRPr="00A9179E" w:rsidRDefault="00A9179E" w:rsidP="00A9179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A9179E" w:rsidRPr="00A9179E" w:rsidRDefault="00A9179E" w:rsidP="00A91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bejelentésekor a kereskedőnek szükséges igazolnia:</w:t>
      </w:r>
    </w:p>
    <w:p w:rsidR="00A9179E" w:rsidRPr="00A9179E" w:rsidRDefault="00A9179E" w:rsidP="00A91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üzlet használatának jogcímét (bérleti szerződés stb.) – tulajdoni lap kivételével </w:t>
      </w:r>
      <w:proofErr w:type="gramStart"/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- ;</w:t>
      </w:r>
      <w:proofErr w:type="gramEnd"/>
    </w:p>
    <w:p w:rsidR="00A9179E" w:rsidRPr="00A9179E" w:rsidRDefault="00A9179E" w:rsidP="00A91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haszonélvezet esetében – ha nem a tulajdonos vagy a haszonélevező a kérelmező </w:t>
      </w:r>
      <w:proofErr w:type="gramStart"/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-  a</w:t>
      </w:r>
      <w:proofErr w:type="gramEnd"/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haszonélvező hozzájárulását;</w:t>
      </w:r>
    </w:p>
    <w:p w:rsidR="00A9179E" w:rsidRPr="00A9179E" w:rsidRDefault="00A9179E" w:rsidP="00A91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közös tulajdonban álló üzlet esetében, ha nem a tulajdonostársak közössége a kérelmező, a tulajdonostársak hozzájárulását;</w:t>
      </w:r>
    </w:p>
    <w:p w:rsidR="00A9179E" w:rsidRPr="00A9179E" w:rsidRDefault="00A9179E" w:rsidP="00A91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79E">
        <w:rPr>
          <w:rFonts w:ascii="Times New Roman" w:eastAsia="Times New Roman" w:hAnsi="Times New Roman" w:cs="Times New Roman"/>
          <w:sz w:val="24"/>
          <w:szCs w:val="24"/>
          <w:lang w:eastAsia="hu-HU"/>
        </w:rPr>
        <w:t>4. védett intézmény védőtávolságán belül szeszes italt árusító nem melegkonyhás vendéglátó üzlet esetén – az intézmény hivatali működési idejét igazoló okiratot, a vámhatóság előzetes véleményét, és a rendőrhatóság előzetes véleményét tanúsító okiratot;</w:t>
      </w:r>
    </w:p>
    <w:p w:rsidR="00A9179E" w:rsidRPr="007C2E3C" w:rsidRDefault="00A9179E" w:rsidP="00A9179E">
      <w:pPr>
        <w:pStyle w:val="Cmsor2"/>
        <w:rPr>
          <w:b w:val="0"/>
          <w:sz w:val="24"/>
          <w:szCs w:val="24"/>
        </w:rPr>
      </w:pPr>
      <w:r w:rsidRPr="007C2E3C">
        <w:rPr>
          <w:b w:val="0"/>
          <w:sz w:val="24"/>
          <w:szCs w:val="24"/>
        </w:rPr>
        <w:t>Ügyintézés határideje és díja</w:t>
      </w:r>
    </w:p>
    <w:p w:rsidR="00A9179E" w:rsidRPr="007C2E3C" w:rsidRDefault="00A9179E" w:rsidP="00A9179E">
      <w:pPr>
        <w:pStyle w:val="NormlWeb"/>
        <w:jc w:val="both"/>
      </w:pPr>
      <w:r w:rsidRPr="007C2E3C">
        <w:rPr>
          <w:bCs/>
        </w:rPr>
        <w:t>25 nap </w:t>
      </w:r>
    </w:p>
    <w:p w:rsidR="00A9179E" w:rsidRPr="007C2E3C" w:rsidRDefault="00A9179E" w:rsidP="00A9179E">
      <w:pPr>
        <w:pStyle w:val="NormlWeb"/>
        <w:jc w:val="both"/>
      </w:pPr>
      <w:r w:rsidRPr="007C2E3C">
        <w:rPr>
          <w:bCs/>
        </w:rPr>
        <w:t>Az eljárás illetékmentes.</w:t>
      </w:r>
    </w:p>
    <w:p w:rsidR="00A9179E" w:rsidRDefault="00A9179E" w:rsidP="00A9179E">
      <w:pPr>
        <w:pStyle w:val="NormlWeb"/>
        <w:jc w:val="both"/>
      </w:pPr>
      <w:r>
        <w:rPr>
          <w:b/>
          <w:bCs/>
        </w:rPr>
        <w:t>Az ügyintézési határidőbe nem számít be az eljárás felfüggesztésének, szüneteltetésének időtartama.</w:t>
      </w:r>
    </w:p>
    <w:p w:rsidR="00A9179E" w:rsidRPr="007C2E3C" w:rsidRDefault="00A9179E" w:rsidP="00A9179E">
      <w:pPr>
        <w:pStyle w:val="Cmsor2"/>
        <w:rPr>
          <w:sz w:val="24"/>
          <w:szCs w:val="24"/>
        </w:rPr>
      </w:pPr>
      <w:r w:rsidRPr="007C2E3C">
        <w:rPr>
          <w:sz w:val="24"/>
          <w:szCs w:val="24"/>
        </w:rPr>
        <w:lastRenderedPageBreak/>
        <w:t>Az alkalmazott jogszabályok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2016. évi CL. törvény az az általános közigazgatási rendtartásról,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2009. évi LXXVI. törvény a szolgáltatási tevékenység megkezdésének és folytatásának általános szabályairól,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2005. évi CLXIV. a kereskedelemről,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210/2009. (IX. 29.) Korm. rendelet a kereskedelmi tevékenységek végzésének feltételeiről,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531/2017. (XII.29.) Kormányrendelet az egyes közérdeken alapuló kényszerítő indokok alapján eljáró szakhatóságok kijelöléséről,</w:t>
      </w:r>
    </w:p>
    <w:p w:rsidR="00A9179E" w:rsidRDefault="00A9179E" w:rsidP="00A9179E">
      <w:pPr>
        <w:pStyle w:val="NormlWeb"/>
        <w:spacing w:before="57" w:beforeAutospacing="0" w:after="57" w:afterAutospacing="0"/>
        <w:jc w:val="both"/>
      </w:pPr>
      <w:r>
        <w:t>1990. évi XCIII. törvény az illetékekről</w:t>
      </w:r>
    </w:p>
    <w:p w:rsidR="00A9179E" w:rsidRPr="00A9179E" w:rsidRDefault="00A9179E" w:rsidP="00A9179E">
      <w:pPr>
        <w:pStyle w:val="Cmsor2"/>
        <w:rPr>
          <w:sz w:val="24"/>
          <w:szCs w:val="24"/>
        </w:rPr>
      </w:pPr>
      <w:r w:rsidRPr="00A9179E">
        <w:rPr>
          <w:sz w:val="24"/>
          <w:szCs w:val="24"/>
        </w:rPr>
        <w:t>Egyéb fontos tudnivalók</w:t>
      </w:r>
    </w:p>
    <w:p w:rsidR="00A9179E" w:rsidRDefault="00A9179E" w:rsidP="00A9179E">
      <w:pPr>
        <w:pStyle w:val="NormlWeb"/>
      </w:pPr>
      <w:r>
        <w:t>Kizárólag üzletben forgalmazható termékek (működési engedély-köteles termékek)</w:t>
      </w:r>
    </w:p>
    <w:p w:rsidR="00A9179E" w:rsidRDefault="00A9179E" w:rsidP="00A9179E">
      <w:pPr>
        <w:pStyle w:val="NormlWeb"/>
      </w:pPr>
      <w:r>
        <w:t>(a 210/2009. (IX. 29.) Kormányrendelet 3. számú melléklete alapján)</w:t>
      </w:r>
    </w:p>
    <w:p w:rsidR="00A9179E" w:rsidRDefault="00A9179E" w:rsidP="00A9179E">
      <w:pPr>
        <w:pStyle w:val="NormlWeb"/>
      </w:pPr>
      <w:r>
        <w:t>2. a kémiai biztonságról szóló törvény szerinti veszélyes anyagok és keverékek, kivéve a jövedéki adóról szóló törvény szerinti tüzelő-, fűtőanyag célú gázolaj, LPG és az üzemanyag;</w:t>
      </w:r>
    </w:p>
    <w:p w:rsidR="00A9179E" w:rsidRDefault="00A9179E" w:rsidP="00A9179E">
      <w:pPr>
        <w:pStyle w:val="NormlWeb"/>
      </w:pPr>
      <w:r>
        <w:t>3. az egyes festékek, lakkok és járművek javító fényezésére szolgáló termékek szerves oldószer tartalmának szabályozásáról szóló kormányrendelet hatálya alá tartozó termékek;</w:t>
      </w:r>
    </w:p>
    <w:p w:rsidR="00A9179E" w:rsidRDefault="00A9179E" w:rsidP="00A9179E">
      <w:pPr>
        <w:pStyle w:val="NormlWeb"/>
      </w:pPr>
      <w:r>
        <w:t>4. állatgyógyászati készítmények és hatóanyagaik;</w:t>
      </w:r>
    </w:p>
    <w:p w:rsidR="00A9179E" w:rsidRDefault="00A9179E" w:rsidP="00A9179E">
      <w:pPr>
        <w:pStyle w:val="NormlWeb"/>
      </w:pPr>
      <w: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A9179E" w:rsidRDefault="00A9179E" w:rsidP="00A9179E">
      <w:pPr>
        <w:pStyle w:val="NormlWeb"/>
      </w:pPr>
      <w:r>
        <w:t>6. növényvédő szerek és hatóanyagaik;</w:t>
      </w:r>
    </w:p>
    <w:p w:rsidR="00A9179E" w:rsidRDefault="00A9179E" w:rsidP="00A9179E">
      <w:pPr>
        <w:pStyle w:val="NormlWeb"/>
      </w:pPr>
      <w:r>
        <w:t>7. nem veszélyes hulladék;</w:t>
      </w:r>
    </w:p>
    <w:p w:rsidR="00A9179E" w:rsidRDefault="00A9179E" w:rsidP="00A9179E">
      <w:pPr>
        <w:pStyle w:val="NormlWeb"/>
      </w:pPr>
      <w:r>
        <w:t>8. az Országos Tűzvédelmi Szabályzat szerint robbanásveszélyes osztályba tartozó anyag, kivéve a jövedéki adóról szóló törvény szerinti tüzelő-, fűtőanyag célú gázolaj, LPG és az üzemanyag.</w:t>
      </w:r>
    </w:p>
    <w:p w:rsidR="00A9179E" w:rsidRDefault="00A9179E" w:rsidP="00A9179E">
      <w:pPr>
        <w:pStyle w:val="NormlWeb"/>
      </w:pPr>
      <w:r>
        <w:t>A működési engedély iránti kérelem kötelező adattartalmát a Rendelet 1. melléklet B) pontja írja elő. </w:t>
      </w:r>
    </w:p>
    <w:p w:rsidR="00A9179E" w:rsidRDefault="00A9179E" w:rsidP="00A9179E">
      <w:pPr>
        <w:pStyle w:val="NormlWeb"/>
      </w:pPr>
      <w:r>
        <w:t>A működési engedélyezési eljárásban külön vizsgálat nélkül ügyfélnek minősül az üzlet, valamint a külön jogszabály szerinti vásáron és piacon, valamint a bevásárlóközpontban lévő üzlet kivételével az üzlettel közvetlenül szomszédos, az üzlettel közös határvonalú, telekhatárú ingatlan tulajdonosa, társasház esetében a közös képviselő vagy az intézőbizottság elnöke, lakásszövetkezet esetében az elnök.</w:t>
      </w:r>
    </w:p>
    <w:p w:rsidR="00A9179E" w:rsidRDefault="00A9179E" w:rsidP="00A9179E">
      <w:pPr>
        <w:pStyle w:val="NormlWeb"/>
      </w:pPr>
      <w:r>
        <w:t xml:space="preserve">A kereskedő köteles az üzlet nyitvatartási idejét a működési engedély iránti kérelemben, illetve </w:t>
      </w:r>
      <w:proofErr w:type="gramStart"/>
      <w:r>
        <w:t>a</w:t>
      </w:r>
      <w:proofErr w:type="gramEnd"/>
      <w:r>
        <w:t xml:space="preserve"> az abban bekövetkező változást az azt megelőző nyolc napon belül a kereskedelmi hatóságnak bejelenteni.</w:t>
      </w:r>
    </w:p>
    <w:p w:rsidR="00A9179E" w:rsidRDefault="00A9179E" w:rsidP="00A9179E">
      <w:pPr>
        <w:pStyle w:val="NormlWeb"/>
      </w:pPr>
      <w:r>
        <w:lastRenderedPageBreak/>
        <w:t>A kereskedő, illetve alkalmazottja ellenőrzéskor eredeti okirattal vagy másolattal köteles igazolni, hogy rendelkezik működési engedéllyel, továbbá megfelel a külön jogszabályban meghatározott feltételeknek.</w:t>
      </w:r>
    </w:p>
    <w:p w:rsidR="00A9179E" w:rsidRDefault="00A9179E" w:rsidP="00A9179E">
      <w:pPr>
        <w:pStyle w:val="NormlWeb"/>
      </w:pPr>
      <w:r>
        <w:t>Az üzletben működő biztonsági szolgálat nevéről és székhelyéről, működésének vásárlókat érintő szabályairól a vásárlókat jól láthatóan tájékoztatni kell.</w:t>
      </w:r>
    </w:p>
    <w:p w:rsidR="00A9179E" w:rsidRDefault="00A9179E" w:rsidP="00A9179E">
      <w:pPr>
        <w:pStyle w:val="NormlWeb"/>
      </w:pPr>
      <w:r>
        <w:t>A kereskedőnek rendelkeznie kell a forgalmazott termék saját előállítású termék esetén a termékhez felhasznált nem saját előállítású termék – eredetét hitelt érdemlően igazoló bizonylattal.</w:t>
      </w:r>
    </w:p>
    <w:p w:rsidR="00A9179E" w:rsidRDefault="00A9179E" w:rsidP="00A9179E">
      <w:pPr>
        <w:pStyle w:val="NormlWeb"/>
      </w:pPr>
      <w:r>
        <w:t xml:space="preserve">A kereskedő köteles biztosítani, hogy a vásárló a megvásárolni kívánt termék jellegétől függően, annak méretét, súlyát, illetve használhatóságát ellenőrizhesse az üzletben vagy egyéb kereskedelmi formák </w:t>
      </w:r>
      <w:proofErr w:type="gramStart"/>
      <w:r>
        <w:t>esetében</w:t>
      </w:r>
      <w:proofErr w:type="gramEnd"/>
      <w:r>
        <w:t xml:space="preserve"> ha a termék rendelkezésre bocsátásakor mind a kereskedő vagy annak képviselője, mind pedig a vásárló jelen van.</w:t>
      </w:r>
    </w:p>
    <w:p w:rsidR="00A9179E" w:rsidRDefault="00A9179E" w:rsidP="00A9179E">
      <w:pPr>
        <w:pStyle w:val="NormlWeb"/>
      </w:pPr>
      <w:r>
        <w:t>Egyes termékek kiskereskedelmi tevékenység keretében való értékesítéséhez az azt végző személynek a kereskedelemért felelős miniszter rendeletében meghatározott szakképesítéssel kell rendelkeznie.</w:t>
      </w:r>
    </w:p>
    <w:p w:rsidR="00A9179E" w:rsidRDefault="00A9179E" w:rsidP="00A9179E">
      <w:pPr>
        <w:pStyle w:val="NormlWeb"/>
      </w:pPr>
      <w:r>
        <w:rPr>
          <w:rStyle w:val="Kiemels2"/>
        </w:rPr>
        <w:t>Az üzletekben jól látható és könnyen hozzáférhető helyen a kereskedelmi hatóság által hitelesített, folyamatosan számozott oldalú vásárlók könyvét kell elhelyezni.</w:t>
      </w:r>
    </w:p>
    <w:p w:rsidR="007C2E3C" w:rsidRDefault="007C2E3C" w:rsidP="007C2E3C">
      <w:r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7C2E3C" w:rsidRDefault="007C2E3C" w:rsidP="007C2E3C">
      <w:r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7C2E3C" w:rsidRDefault="007C2E3C" w:rsidP="007C2E3C">
      <w:pPr>
        <w:rPr>
          <w:rFonts w:ascii="Times New Roman" w:hAnsi="Times New Roman" w:cs="Times New Roman"/>
          <w:sz w:val="24"/>
          <w:szCs w:val="24"/>
        </w:rPr>
      </w:pPr>
    </w:p>
    <w:p w:rsidR="007C2E3C" w:rsidRDefault="007C2E3C" w:rsidP="007C2E3C">
      <w:r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7C2E3C" w:rsidRDefault="007C2E3C" w:rsidP="007C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A9179E" w:rsidRDefault="00A9179E" w:rsidP="00A9179E">
      <w:pPr>
        <w:rPr>
          <w:sz w:val="24"/>
          <w:szCs w:val="24"/>
        </w:rPr>
      </w:pPr>
    </w:p>
    <w:p w:rsidR="00E11966" w:rsidRDefault="00E11966" w:rsidP="00A9179E">
      <w:pPr>
        <w:rPr>
          <w:sz w:val="24"/>
          <w:szCs w:val="24"/>
        </w:rPr>
      </w:pPr>
    </w:p>
    <w:p w:rsidR="00E11966" w:rsidRDefault="00E11966" w:rsidP="00E119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E11966" w:rsidRDefault="00E11966" w:rsidP="00E11966">
      <w:pPr>
        <w:rPr>
          <w:rFonts w:ascii="Times New Roman" w:hAnsi="Times New Roman" w:cs="Times New Roman"/>
          <w:sz w:val="24"/>
          <w:szCs w:val="24"/>
        </w:rPr>
      </w:pPr>
    </w:p>
    <w:p w:rsidR="00E11966" w:rsidRDefault="00E11966" w:rsidP="00E1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E11966" w:rsidRDefault="00E11966" w:rsidP="00E11966">
      <w:pPr>
        <w:rPr>
          <w:rFonts w:ascii="Times New Roman" w:hAnsi="Times New Roman" w:cs="Times New Roman"/>
          <w:sz w:val="24"/>
          <w:szCs w:val="24"/>
        </w:rPr>
      </w:pPr>
    </w:p>
    <w:p w:rsidR="00E11966" w:rsidRDefault="00E11966" w:rsidP="00E1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E11966" w:rsidRPr="00A9179E" w:rsidRDefault="00E11966" w:rsidP="00A9179E">
      <w:pPr>
        <w:rPr>
          <w:sz w:val="24"/>
          <w:szCs w:val="24"/>
        </w:rPr>
      </w:pPr>
      <w:bookmarkStart w:id="0" w:name="_GoBack"/>
      <w:bookmarkEnd w:id="0"/>
    </w:p>
    <w:sectPr w:rsidR="00E11966" w:rsidRPr="00A9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9E"/>
    <w:rsid w:val="00224A95"/>
    <w:rsid w:val="007C2E3C"/>
    <w:rsid w:val="00A9179E"/>
    <w:rsid w:val="00E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95A9"/>
  <w15:chartTrackingRefBased/>
  <w15:docId w15:val="{780EAFD3-33D0-4986-817A-9C718A2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17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917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17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917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1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1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2019-03-28T13:41:00Z</dcterms:created>
  <dcterms:modified xsi:type="dcterms:W3CDTF">2019-04-01T12:43:00Z</dcterms:modified>
</cp:coreProperties>
</file>